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ИЗВЕШТАЈ ПО ЗАВРШНОМ РАЧУНУ ЗА 202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ЗА ОШ АЦА АЛЕКСИЋ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 школа Аца Алексић је установа чија је делатност основно образовање.Њен  оснивач је Локална Самоуправа . Извори финансирања установе су Министарство науке и технолошког развоја и  Локална Самоуправа. Поред ових извора школа остварује приходе које се евиндетирају у на рачуну родитељског динара и остали приходи из сопствене активности корисника(приходи по полиси, приходи од донација, приходи од продаје покретних и непокретних ствари, приходи мешовити и неодређени,  боловања  преко 30 дана и приходи од пројеката).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Школа  је по завршном рачуну за 2023 годину остварила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дефицит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у износу од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824.246,58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динара.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Укупан приход је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236.942.790,23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динара.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Укупни расходи су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237.767.036,81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динара.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numPr>
          <w:ilvl w:val="0"/>
          <w:numId w:val="2"/>
        </w:numPr>
        <w:tabs>
          <w:tab w:val="left" w:pos="1800" w:leader="none"/>
        </w:tabs>
        <w:spacing w:before="0" w:after="0" w:line="240"/>
        <w:ind w:right="0" w:left="1800" w:hanging="36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Приказ финансијског резултата 2023.г</w:t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tbl>
      <w:tblPr>
        <w:tblInd w:w="592" w:type="dxa"/>
      </w:tblPr>
      <w:tblGrid>
        <w:gridCol w:w="805"/>
        <w:gridCol w:w="5556"/>
        <w:gridCol w:w="2364"/>
      </w:tblGrid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Р.бр. 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НАЗНАКА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 з н о с и у динарима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Укупни приходи – класа 7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236.942.790,29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Укупни приходи – класа 8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Укупни приходи – класа 9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0,000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Пренета неутрошена средства –класа 3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2.628.071,37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Укупни расходи – класа 4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231.473.281,77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06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Укупни расходи – класа 5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6.293.755,04  </w:t>
            </w:r>
          </w:p>
        </w:tc>
      </w:tr>
      <w:tr>
        <w:trPr>
          <w:trHeight w:val="1" w:hRule="atLeast"/>
          <w:jc w:val="left"/>
        </w:trPr>
        <w:tc>
          <w:tcPr>
            <w:tcW w:w="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07</w:t>
            </w:r>
          </w:p>
        </w:tc>
        <w:tc>
          <w:tcPr>
            <w:tcW w:w="555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Разлика    расходима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на приходима</w:t>
            </w:r>
          </w:p>
        </w:tc>
        <w:tc>
          <w:tcPr>
            <w:tcW w:w="236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824.246,58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Учешће буџетских прихода Министарства за науку и технолошки развој   је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187.390.886,25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Приходи од Локалне Самоуправе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30.664.574,94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динара, Приходи од Локалне Самоуправе треће дете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2.194.940,00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динара.</w:t>
      </w: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Приходи од  имаоца полисе осигурања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2.194.540,00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динара.</w:t>
      </w: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Приходи по основу   додатних активности предвиђених годишњим програмом рада школе  су  у 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години износили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16.692.789,04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динара.</w:t>
      </w:r>
    </w:p>
    <w:p>
      <w:pPr>
        <w:spacing w:before="0" w:after="200" w:line="276"/>
        <w:ind w:right="0" w:left="-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Од неизмирених обавеза стоје  обавезе по основу превоза радника за један месец (децембар)  2023 jе  износе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543.997,35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динара..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Обавезе према добављачима износе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6.616.571,63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динара. Око 65% ових обавеза се односи на обавезе по основу енергената (дрва,угаљ,струја),  20 %  односи се на дуг према Југопревозу и само око 15  % ових обавеза се односи на остале добављаче.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Обавезе са рачуна родитељског динара се измирују одмах. Обвезе према агенцијама а сладу са пописаним уговором  према приливу уплата  и динамиком како је предвиђено уговорима  унапред смо уплатили у 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години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995.075,00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динара.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Обавзе по основу накнада зарада и зарада  износе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15.931.484,32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динара и односе на обавезе по основу боловања за октобар, новембар и децебар преко 30 дана као и обавезе по  основу зараде за месец децембар 202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Основна средства су исказана према књиговоственој вредности.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Стање непокретне имовине на дан  31.12.2023. је следеће: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Објекти за потребе образовања ........ ...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12.992.916,91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динара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Остали    објекти. И ОПРЕМА .....................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2.163.074,70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динара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Опрема за потребе образовања................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15.392.722,38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динара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Залихе потрошног матријала и енергената..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4.276.662,67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Залихе ситног инвентара.................................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397.781,45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динара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Стање на текућем рачуну родитељског динара  динара износи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1.803.824,79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динара.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Ово су средстава неутрошена ђачке кухиње и екскурзија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Ванбилансно је исказана процена легализованих обкјеката од стране општинске управе и она износи  375.234.895,01  динара.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Детаљан финансијски резултат приходи и расходи  исказан је  у табелама у прилогу.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У, Александровцу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28.02.2024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Шеф рачуноводства            </w:t>
        <w:tab/>
        <w:tab/>
        <w:tab/>
        <w:tab/>
        <w:tab/>
        <w:tab/>
        <w:tab/>
        <w:tab/>
        <w:tab/>
        <w:tab/>
        <w:t xml:space="preserve">Крцић Милијана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